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Frutiger45Light" w:hAnsi="Frutiger45Light" w:cs="Frutiger45Light"/>
          <w:color w:val="FF7801"/>
          <w:sz w:val="60"/>
          <w:szCs w:val="60"/>
        </w:rPr>
      </w:pPr>
      <w:r>
        <w:rPr>
          <w:rFonts w:ascii="Frutiger45Light" w:hAnsi="Frutiger45Light" w:cs="Frutiger45Light"/>
          <w:color w:val="FF7801"/>
          <w:sz w:val="60"/>
          <w:szCs w:val="60"/>
        </w:rPr>
        <w:t>Acute upper gastrointestinal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Frutiger45Light" w:hAnsi="Frutiger45Light" w:cs="Frutiger45Light"/>
          <w:color w:val="FF7801"/>
          <w:sz w:val="60"/>
          <w:szCs w:val="60"/>
        </w:rPr>
      </w:pPr>
      <w:r>
        <w:rPr>
          <w:rFonts w:ascii="Frutiger45Light" w:hAnsi="Frutiger45Light" w:cs="Frutiger45Light"/>
          <w:color w:val="FF7801"/>
          <w:sz w:val="60"/>
          <w:szCs w:val="60"/>
        </w:rPr>
        <w:t>bleeding overview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t xml:space="preserve">1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Adult or young person (16 years and older) with upper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gastrointestinal bleeding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additional information</w:t>
      </w:r>
      <w:r w:rsidR="00EE4418" w:rsidRPr="00EE4418">
        <w:rPr>
          <w:rFonts w:ascii="Arial" w:hAnsi="Arial" w:cs="Arial" w:hint="cs"/>
          <w:color w:val="000000"/>
          <w:sz w:val="24"/>
          <w:szCs w:val="24"/>
        </w:rPr>
        <w:drawing>
          <wp:inline distT="0" distB="0" distL="0" distR="0">
            <wp:extent cx="5274310" cy="5274310"/>
            <wp:effectExtent l="19050" t="0" r="254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18" w:rsidRDefault="00EE4418" w:rsidP="00EE4418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4418" w:rsidRDefault="00EE4418" w:rsidP="00EE44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4C56" w:rsidRDefault="00B64C56" w:rsidP="00EE44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t xml:space="preserve">2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Information and support</w:t>
      </w:r>
    </w:p>
    <w:p w:rsidR="00B64C56" w:rsidRDefault="00B64C56" w:rsidP="003939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Establish good communication between clinical staff and patients and their family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carers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at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time of presentation, throughout their time in hospital and following discharge. This should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include:</w:t>
      </w:r>
    </w:p>
    <w:p w:rsidR="00B64C56" w:rsidRPr="0078716A" w:rsidRDefault="00B64C56" w:rsidP="0078716A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16A">
        <w:rPr>
          <w:rFonts w:ascii="Arial" w:hAnsi="Arial" w:cs="Arial"/>
          <w:color w:val="000000"/>
          <w:sz w:val="24"/>
          <w:szCs w:val="24"/>
        </w:rPr>
        <w:t>giving verbal information that is recorded in medical records</w:t>
      </w:r>
    </w:p>
    <w:p w:rsidR="00B64C56" w:rsidRPr="0078716A" w:rsidRDefault="00B64C56" w:rsidP="0078716A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16A">
        <w:rPr>
          <w:rFonts w:ascii="Arial" w:hAnsi="Arial" w:cs="Arial"/>
          <w:color w:val="000000"/>
          <w:sz w:val="24"/>
          <w:szCs w:val="24"/>
        </w:rPr>
        <w:t>different members of clinical teams providing consistent information</w:t>
      </w:r>
    </w:p>
    <w:p w:rsidR="00CB42D0" w:rsidRDefault="00B64C56" w:rsidP="0078716A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16A">
        <w:rPr>
          <w:rFonts w:ascii="Arial" w:hAnsi="Arial" w:cs="Arial"/>
          <w:color w:val="000000"/>
          <w:sz w:val="24"/>
          <w:szCs w:val="24"/>
        </w:rPr>
        <w:t>providing written information where appropriate</w:t>
      </w:r>
    </w:p>
    <w:p w:rsidR="00B64C56" w:rsidRPr="00CB42D0" w:rsidRDefault="009148AC" w:rsidP="00CB42D0">
      <w:pPr>
        <w:pStyle w:val="a3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8716A">
        <w:rPr>
          <w:rFonts w:ascii="Arial" w:hAnsi="Arial" w:cs="Arial"/>
          <w:color w:val="000000"/>
          <w:sz w:val="24"/>
          <w:szCs w:val="24"/>
        </w:rPr>
        <w:t xml:space="preserve"> </w:t>
      </w:r>
      <w:r w:rsidR="00B64C56" w:rsidRPr="0078716A">
        <w:rPr>
          <w:rFonts w:ascii="Arial" w:hAnsi="Arial" w:cs="Arial"/>
          <w:color w:val="000000"/>
          <w:sz w:val="24"/>
          <w:szCs w:val="24"/>
        </w:rPr>
        <w:t>ensuring patients and</w:t>
      </w:r>
      <w:r w:rsidR="00CB42D0">
        <w:rPr>
          <w:rFonts w:ascii="Arial" w:hAnsi="Arial" w:cs="Arial"/>
          <w:color w:val="000000"/>
          <w:sz w:val="24"/>
          <w:szCs w:val="24"/>
        </w:rPr>
        <w:t xml:space="preserve"> </w:t>
      </w:r>
      <w:r w:rsidR="00B64C56" w:rsidRPr="00CB42D0">
        <w:rPr>
          <w:rFonts w:ascii="Arial" w:hAnsi="Arial" w:cs="Arial"/>
          <w:color w:val="000000"/>
          <w:sz w:val="24"/>
          <w:szCs w:val="24"/>
        </w:rPr>
        <w:t xml:space="preserve">their families and </w:t>
      </w:r>
      <w:proofErr w:type="spellStart"/>
      <w:r w:rsidR="00B64C56" w:rsidRPr="00CB42D0">
        <w:rPr>
          <w:rFonts w:ascii="Arial" w:hAnsi="Arial" w:cs="Arial"/>
          <w:color w:val="000000"/>
          <w:sz w:val="24"/>
          <w:szCs w:val="24"/>
        </w:rPr>
        <w:t>carers</w:t>
      </w:r>
      <w:proofErr w:type="spellEnd"/>
      <w:r w:rsidR="00B64C56" w:rsidRPr="00CB42D0">
        <w:rPr>
          <w:rFonts w:ascii="Arial" w:hAnsi="Arial" w:cs="Arial"/>
          <w:color w:val="000000"/>
          <w:sz w:val="24"/>
          <w:szCs w:val="24"/>
        </w:rPr>
        <w:t xml:space="preserve"> receive consistent information.</w:t>
      </w:r>
    </w:p>
    <w:p w:rsidR="009148AC" w:rsidRDefault="00B64C56" w:rsidP="003939F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FFFFFF"/>
          <w:sz w:val="26"/>
          <w:szCs w:val="26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lastRenderedPageBreak/>
        <w:t>3</w:t>
      </w:r>
    </w:p>
    <w:p w:rsidR="00B64C56" w:rsidRDefault="00B64C56" w:rsidP="002F45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Controlling bleeding and preventing re-bleeding in patients on</w:t>
      </w:r>
      <w:r w:rsidR="009148AC"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NSAIDs, aspirin or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clopidogrel</w:t>
      </w:r>
      <w:proofErr w:type="spellEnd"/>
    </w:p>
    <w:p w:rsidR="00B64C56" w:rsidRDefault="00B64C56" w:rsidP="002F45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Continue low-dose aspirin for secondary prevention of vascular events in patients with upper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gastrointestinal bleeding in whom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haemostasis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has been achieved.</w:t>
      </w:r>
    </w:p>
    <w:p w:rsidR="00EE4418" w:rsidRDefault="00EE4418" w:rsidP="002F45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4C56" w:rsidRDefault="00B64C56" w:rsidP="00EE44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Stop other non-steroidal anti-inflammatory drugs (including cyclooxygenase-2 [COX-2]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inhibitors) during the acute phase in patients presenting with upper gastrointestinal bleeding.</w:t>
      </w:r>
    </w:p>
    <w:p w:rsidR="00EE4418" w:rsidRDefault="00EE4418" w:rsidP="002F453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64C56" w:rsidRDefault="00B64C56" w:rsidP="00EE441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 the risks and benefits of continuing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clopidogrel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(or any other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thienopyridine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antiplatelet</w:t>
      </w:r>
      <w:proofErr w:type="spellEnd"/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agents) in patients with upper gastrointestinal bleeding with the appropriate specialist (for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example, a cardiologist or a stroke specialist) and with the patient.</w:t>
      </w:r>
    </w:p>
    <w:p w:rsidR="009148AC" w:rsidRDefault="009148AC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6"/>
          <w:szCs w:val="26"/>
        </w:rPr>
      </w:pPr>
    </w:p>
    <w:p w:rsidR="00B64C56" w:rsidRDefault="00B64C56" w:rsidP="009148AC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t xml:space="preserve">4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Resuscitation and initial management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Transfuse patients with massive bleeding with blood, platelets and clotting factors in line with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local protocols for managing massive bleeding.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Base decisions on blood transfusion on the full clinical picture,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recognising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that over-transfusion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may be as damaging as under-transfusion.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not offer platelet transfusion to patients who are not actively bleeding and are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haemodynamically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stable.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Offer platelet transfusion to patients who are actively bleeding and have a platelet count of less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than 50 x 10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Offer fresh frozen plasma to patients who have either: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fibrinogen level of less than 1 g/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or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prothrombin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time (international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normalised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ratio) or activated partial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thromboplastin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time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greater than 1.5 times normal.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Offer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prothrombin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complex concentrate to patients who are taking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warfarin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actively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bleeding.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Treat patients who are taking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warfarin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whose upper gastrointestinal bleeding has stopped in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line with local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warfarin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protocols.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not use recombinant factor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Vlla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except when all other methods have failed.</w:t>
      </w:r>
    </w:p>
    <w:p w:rsidR="009148AC" w:rsidRDefault="009148AC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6"/>
          <w:szCs w:val="26"/>
        </w:rPr>
      </w:pPr>
    </w:p>
    <w:p w:rsidR="00B64C56" w:rsidRDefault="00B64C56" w:rsidP="009148AC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t xml:space="preserve">5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Risk assessment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Use the following formal risk assessment scores for all patients with acute upper gastrointestinal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bleeding: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Blatchford score at first assessment,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and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full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Rockall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score after endoscopy.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Consider early discharge for patients with a pre-endoscopy Blatchford score of 0.</w:t>
      </w:r>
    </w:p>
    <w:p w:rsidR="009148AC" w:rsidRDefault="009148AC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F11141" w:rsidRDefault="00F11141" w:rsidP="00F11141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F11141" w:rsidRDefault="00F11141" w:rsidP="00F11141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F11141" w:rsidRDefault="00F11141" w:rsidP="00F11141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F11141" w:rsidRDefault="00F11141" w:rsidP="00F11141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F11141" w:rsidRDefault="00F11141" w:rsidP="00F11141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lastRenderedPageBreak/>
        <w:t>Quality standards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quality statement is relevant to this part of the pathway.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Risk assessment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t xml:space="preserve">6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Endoscopy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Offer endoscopy to unstable patients with severe acute upper gastrointestinal bleeding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immediately after resuscitation.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Offer endoscopy within 24 hours of admission to all other patients with upper gastrointestinal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bleeding.</w:t>
      </w:r>
    </w:p>
    <w:p w:rsidR="00B64C56" w:rsidRPr="009148AC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Units seeing more than 330 cases a year should offer daily endoscopy lists. Units seeing fewer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than 330 cases a year should arrange their service according to local circumstances.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Immediate endoscopy for people who are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haemodynamically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unstable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Endoscopy within 24 hours for people who are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haemodynamically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stable</w:t>
      </w:r>
    </w:p>
    <w:p w:rsidR="009148AC" w:rsidRDefault="009148AC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6"/>
          <w:szCs w:val="26"/>
        </w:rPr>
      </w:pPr>
    </w:p>
    <w:p w:rsidR="00B64C56" w:rsidRDefault="00B64C56" w:rsidP="009148AC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t xml:space="preserve">7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>Managing non-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variceal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bleeding</w:t>
      </w:r>
    </w:p>
    <w:p w:rsidR="00F11141" w:rsidRDefault="00F11141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Endoscopic treatment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 not use adrenaline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monotherapy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 the endoscopic treatment of non-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upper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gastrointestinal bleeding.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the endoscopic treatment of non-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upper gastrointestinal bleeding, use one of the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following: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mechanical method (for example, clips) with or without adrenaline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thermal coagulation with adrenaline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fibrin or thrombin with adrenaline.</w:t>
      </w:r>
    </w:p>
    <w:p w:rsidR="00F11141" w:rsidRDefault="00F11141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Proton pump inhibitors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not offer acid-suppression drugs (proton pump inhibitors or H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4"/>
          <w:szCs w:val="24"/>
        </w:rPr>
        <w:t>-receptor antagonists) before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endoscopy to patients with suspected non-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upper gastrointestinal bleeding.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Offer proton pump inhibitors to patients with non-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upper gastrointestinal bleeding and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stigmata of recent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haemorrhage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shown at endoscopy.</w:t>
      </w:r>
    </w:p>
    <w:p w:rsidR="00F11141" w:rsidRDefault="00F11141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Treatment after first or failed endoscopic treatment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Consider a repeat endoscopy, with treatment as appropriate, for all patients at high risk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rebleeding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</w:p>
    <w:p w:rsidR="00B64C56" w:rsidRPr="009148AC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particularly if there is doubt about adequate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haemostasis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at the first endoscopy.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Offer a repeat endoscopy to patients who re-bleed with a view to further endoscopic treatment</w:t>
      </w:r>
      <w:r w:rsidR="009148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emergency surgery.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Offer interventional radiology to unstable patients who re-bleed after endoscopic treatment.</w:t>
      </w:r>
    </w:p>
    <w:p w:rsidR="00B64C56" w:rsidRDefault="00B64C56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 urgently for surgery if interventional radiology is not promptly available.</w:t>
      </w:r>
    </w:p>
    <w:p w:rsidR="004219EB" w:rsidRDefault="004219EB" w:rsidP="00F1114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4219EB" w:rsidRDefault="004219EB" w:rsidP="004219EB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B64C56" w:rsidRDefault="00B64C56" w:rsidP="004219EB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Quality standards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quality statements are relevant to this part of the pathway.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Endoscopic treatment for non-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bleeding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Treatment of non-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bleeding after first or failed endoscopic treatment</w:t>
      </w:r>
    </w:p>
    <w:p w:rsidR="004219EB" w:rsidRDefault="004219EB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B64C56" w:rsidRDefault="00B64C56" w:rsidP="004219EB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lastRenderedPageBreak/>
        <w:t>Resources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implementation tools are relevant to this part of the pathway.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Acute upper gastrointestinal bleeding: non-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clinical audit tool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Acute upper gastrointestinal bleeding: non-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electronic audit tool</w:t>
      </w:r>
    </w:p>
    <w:p w:rsidR="004219EB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6"/>
          <w:szCs w:val="26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t>8</w:t>
      </w: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Managing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variceal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bleeding</w:t>
      </w: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Offer terlipressin</w:t>
      </w:r>
      <w:r>
        <w:rPr>
          <w:rFonts w:ascii="Arial" w:hAnsi="Arial" w:cs="Arial"/>
          <w:color w:val="000000"/>
          <w:sz w:val="14"/>
          <w:szCs w:val="14"/>
        </w:rPr>
        <w:t xml:space="preserve">1 </w:t>
      </w:r>
      <w:r>
        <w:rPr>
          <w:rFonts w:ascii="Arial" w:hAnsi="Arial" w:cs="Arial"/>
          <w:color w:val="000000"/>
          <w:sz w:val="24"/>
          <w:szCs w:val="24"/>
        </w:rPr>
        <w:t xml:space="preserve">to patients with suspected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bleeding at presentation. Stop treatment</w:t>
      </w:r>
      <w:r w:rsidR="004219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after definitive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haemostasis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has been achieved, or after 5 days, unless there is another</w:t>
      </w:r>
      <w:r w:rsidR="004219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indication for its use.</w:t>
      </w: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Offer prophylactic antibiotic therapy at presentation to patients with suspected or confirmed</w:t>
      </w:r>
      <w:r w:rsidR="004219E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bleeding.</w:t>
      </w:r>
    </w:p>
    <w:p w:rsidR="004219EB" w:rsidRDefault="004219EB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Quality standards</w:t>
      </w: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quality statement is relevant to this part of the pathway.</w:t>
      </w: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6. Prophylactic antibiotic therapy for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bleeding</w:t>
      </w:r>
    </w:p>
    <w:p w:rsidR="004219EB" w:rsidRDefault="004219EB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Gastric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varices</w:t>
      </w:r>
      <w:proofErr w:type="spellEnd"/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Offer endoscopic injection of </w:t>
      </w:r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-butyl-2-cyanoacrylate to patients with upper gastrointestinal</w:t>
      </w:r>
      <w:r w:rsidR="004219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bleeding from gastric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Offer TIPS if bleeding from gastric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not controlled by endoscopic injection of </w:t>
      </w:r>
      <w:proofErr w:type="spellStart"/>
      <w:r>
        <w:rPr>
          <w:rFonts w:ascii="Arial,Italic" w:hAnsi="Arial,Italic" w:cs="Arial,Italic"/>
          <w:i/>
          <w:iCs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>butyl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</w:t>
      </w:r>
      <w:r w:rsidR="004219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2-cyanoacrylate.</w:t>
      </w:r>
    </w:p>
    <w:p w:rsidR="004219EB" w:rsidRDefault="004219EB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Quality standards</w:t>
      </w: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quality statements are relevant to this part of the pathway.</w:t>
      </w: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8. N-butyl-2-cyanoacrylate for gastric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bleeding</w:t>
      </w:r>
    </w:p>
    <w:p w:rsidR="00B64C56" w:rsidRDefault="00B64C56" w:rsidP="00A513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Management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bleeding using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transjugular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intrahepatic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portosystemic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shunts</w:t>
      </w:r>
      <w:r w:rsidR="00A5132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(TIPS)</w:t>
      </w:r>
    </w:p>
    <w:p w:rsidR="004219EB" w:rsidRDefault="004219EB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6"/>
          <w:szCs w:val="26"/>
        </w:rPr>
      </w:pPr>
    </w:p>
    <w:p w:rsidR="00B64C56" w:rsidRDefault="00B64C56" w:rsidP="004219EB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t xml:space="preserve">10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Oesophageal</w:t>
      </w:r>
      <w:proofErr w:type="spellEnd"/>
      <w:r>
        <w:rPr>
          <w:rFonts w:ascii="Arial,Bold" w:hAnsi="Arial,Bold" w:cs="Arial,Bold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,Bold" w:hAnsi="Arial,Bold" w:cs="Arial,Bold"/>
          <w:b/>
          <w:bCs/>
          <w:color w:val="000000"/>
          <w:sz w:val="28"/>
          <w:szCs w:val="28"/>
        </w:rPr>
        <w:t>varices</w:t>
      </w:r>
      <w:proofErr w:type="spellEnd"/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Use band ligation in patients with upper gastrointestinal bleeding from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oesophageal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Consider TIPS if bleeding from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oesophageal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 not controlled by band ligation.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r>
        <w:rPr>
          <w:rFonts w:ascii="Arial,Bold" w:hAnsi="Arial,Bold" w:cs="Arial,Bold"/>
          <w:b/>
          <w:bCs/>
          <w:color w:val="000000"/>
          <w:sz w:val="28"/>
          <w:szCs w:val="28"/>
        </w:rPr>
        <w:t>Quality standards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following quality statements are relevant to this part of the pathway.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Band ligation for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oesophageal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bleeding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9. Management of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variceal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bleeding using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transjugular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intrahepatic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portosystemic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shunts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(TIPS)</w:t>
      </w:r>
    </w:p>
    <w:p w:rsidR="00B64C56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19EB" w:rsidRDefault="00B64C56" w:rsidP="00B64C56">
      <w:pPr>
        <w:autoSpaceDE w:val="0"/>
        <w:autoSpaceDN w:val="0"/>
        <w:bidi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6"/>
          <w:szCs w:val="26"/>
        </w:rPr>
      </w:pPr>
      <w:r>
        <w:rPr>
          <w:rFonts w:ascii="Arial,Bold" w:hAnsi="Arial,Bold" w:cs="Arial,Bold"/>
          <w:b/>
          <w:bCs/>
          <w:color w:val="FFFFFF"/>
          <w:sz w:val="26"/>
          <w:szCs w:val="26"/>
        </w:rPr>
        <w:t>1</w:t>
      </w:r>
    </w:p>
    <w:sectPr w:rsidR="004219EB" w:rsidSect="00780C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45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8113C"/>
    <w:multiLevelType w:val="hybridMultilevel"/>
    <w:tmpl w:val="966EA208"/>
    <w:lvl w:ilvl="0" w:tplc="DE9E06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64C56"/>
    <w:rsid w:val="001C6FAB"/>
    <w:rsid w:val="002F4534"/>
    <w:rsid w:val="003939F3"/>
    <w:rsid w:val="004219EB"/>
    <w:rsid w:val="00780C00"/>
    <w:rsid w:val="0078716A"/>
    <w:rsid w:val="00912C15"/>
    <w:rsid w:val="009148AC"/>
    <w:rsid w:val="00A51320"/>
    <w:rsid w:val="00B64C56"/>
    <w:rsid w:val="00CB42D0"/>
    <w:rsid w:val="00EE4418"/>
    <w:rsid w:val="00F1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E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E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techmoh</cp:lastModifiedBy>
  <cp:revision>9</cp:revision>
  <dcterms:created xsi:type="dcterms:W3CDTF">2015-01-27T05:40:00Z</dcterms:created>
  <dcterms:modified xsi:type="dcterms:W3CDTF">2015-02-22T07:53:00Z</dcterms:modified>
</cp:coreProperties>
</file>